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ADC4"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 xml:space="preserve">Učbenik </w:t>
      </w:r>
      <w:r w:rsidRPr="00384B1F">
        <w:rPr>
          <w:rFonts w:asciiTheme="minorHAnsi" w:hAnsiTheme="minorHAnsi" w:cstheme="minorHAnsi"/>
          <w:i/>
          <w:sz w:val="22"/>
          <w:szCs w:val="22"/>
        </w:rPr>
        <w:t>Na pragu besedila 4 – izdaja s plusom</w:t>
      </w:r>
      <w:r w:rsidRPr="00384B1F">
        <w:rPr>
          <w:rFonts w:asciiTheme="minorHAnsi" w:hAnsiTheme="minorHAnsi" w:cstheme="minorHAnsi"/>
          <w:sz w:val="22"/>
          <w:szCs w:val="22"/>
        </w:rPr>
        <w:t xml:space="preserve"> je učbenik za slovenski jezik v 4. letniku gimnazij in srednjih strokovnih šol. Napisale so ga dr. Martina Križaj, dr. Marja Bešter Turk, Marija Končina, Mojca Bavdek in mag. Mojca Poznanovič in je izšel pri založbi Rokus Klett. Vsebuje štiri poglavja: </w:t>
      </w:r>
      <w:r w:rsidRPr="00384B1F">
        <w:rPr>
          <w:rFonts w:asciiTheme="minorHAnsi" w:hAnsiTheme="minorHAnsi" w:cstheme="minorHAnsi"/>
          <w:i/>
          <w:sz w:val="22"/>
          <w:szCs w:val="22"/>
        </w:rPr>
        <w:t>Zgodovina slovenskega knjižnega jezika</w:t>
      </w:r>
      <w:r w:rsidRPr="00384B1F">
        <w:rPr>
          <w:rFonts w:asciiTheme="minorHAnsi" w:hAnsiTheme="minorHAnsi" w:cstheme="minorHAnsi"/>
          <w:sz w:val="22"/>
          <w:szCs w:val="22"/>
        </w:rPr>
        <w:t xml:space="preserve">, </w:t>
      </w:r>
      <w:r w:rsidRPr="00384B1F">
        <w:rPr>
          <w:rFonts w:asciiTheme="minorHAnsi" w:hAnsiTheme="minorHAnsi" w:cstheme="minorHAnsi"/>
          <w:i/>
          <w:sz w:val="22"/>
          <w:szCs w:val="22"/>
        </w:rPr>
        <w:t>Jezikovna politika v Republiki Sloveniji</w:t>
      </w:r>
      <w:r w:rsidRPr="00384B1F">
        <w:rPr>
          <w:rFonts w:asciiTheme="minorHAnsi" w:hAnsiTheme="minorHAnsi" w:cstheme="minorHAnsi"/>
          <w:sz w:val="22"/>
          <w:szCs w:val="22"/>
        </w:rPr>
        <w:t xml:space="preserve">, </w:t>
      </w:r>
      <w:r w:rsidRPr="00384B1F">
        <w:rPr>
          <w:rFonts w:asciiTheme="minorHAnsi" w:hAnsiTheme="minorHAnsi" w:cstheme="minorHAnsi"/>
          <w:i/>
          <w:sz w:val="22"/>
          <w:szCs w:val="22"/>
        </w:rPr>
        <w:t>Slovenci zunaj Republike Slovenije</w:t>
      </w:r>
      <w:r w:rsidRPr="00384B1F">
        <w:rPr>
          <w:rFonts w:asciiTheme="minorHAnsi" w:hAnsiTheme="minorHAnsi" w:cstheme="minorHAnsi"/>
          <w:sz w:val="22"/>
          <w:szCs w:val="22"/>
        </w:rPr>
        <w:t xml:space="preserve"> in </w:t>
      </w:r>
      <w:r w:rsidRPr="00384B1F">
        <w:rPr>
          <w:rFonts w:asciiTheme="minorHAnsi" w:hAnsiTheme="minorHAnsi" w:cstheme="minorHAnsi"/>
          <w:i/>
          <w:sz w:val="22"/>
          <w:szCs w:val="22"/>
        </w:rPr>
        <w:t>Obravnava besedilnih vrst</w:t>
      </w:r>
      <w:r w:rsidRPr="00384B1F">
        <w:rPr>
          <w:rFonts w:asciiTheme="minorHAnsi" w:hAnsiTheme="minorHAnsi" w:cstheme="minorHAnsi"/>
          <w:sz w:val="22"/>
          <w:szCs w:val="22"/>
        </w:rPr>
        <w:t xml:space="preserve">. Vsako poglavje je sestavljeno iz ene ali več učnih enot. </w:t>
      </w:r>
    </w:p>
    <w:p w14:paraId="045211AC"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 xml:space="preserve">Temelj vsake učne enote je t. i. (zapisano ali govorjeno) razpravljalno besedilo oz. v zadnjem poglavju primer obravnavane besedilne vrste. Obravnava vsake učne enote naj bi potekala po naslednjih štirih didaktičnih korakih: </w:t>
      </w:r>
    </w:p>
    <w:p w14:paraId="5B7CA250"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1. Dijaki se samostojno in individualno pripravijo na obravnavo učne enote, predvsem tako, da razmišljajo o tem, kaj že vedo o določeni temi.</w:t>
      </w:r>
    </w:p>
    <w:p w14:paraId="576BC50E"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 xml:space="preserve">2. Dijaki sodelujejo v motivacijskem pogovoru s profesorjem in sošolci. </w:t>
      </w:r>
    </w:p>
    <w:p w14:paraId="5C739CCD"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3. Dijaki samostojno podrobno berejo ali poslušajo razpravljalno besedilo in izdelajo strukturirani povzetek.</w:t>
      </w:r>
    </w:p>
    <w:p w14:paraId="5A5341D5"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4. Dijaki primerjajo svoj strukturirani povzetek s profesorjevim in svojega po potrebi dopolnijo, popravijo.</w:t>
      </w:r>
    </w:p>
    <w:p w14:paraId="47116EA8"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 xml:space="preserve">Didaktična zasnova učbenika tako omogoča t. i. obrnjeni pouk oz. obrnjeno učenje, ki spodbuja aktivno vlogo dijakov. Učbenik </w:t>
      </w:r>
      <w:r w:rsidRPr="00384B1F">
        <w:rPr>
          <w:rFonts w:asciiTheme="minorHAnsi" w:hAnsiTheme="minorHAnsi" w:cstheme="minorHAnsi"/>
          <w:i/>
          <w:sz w:val="22"/>
          <w:szCs w:val="22"/>
        </w:rPr>
        <w:t>Na pragu besedila 4 – izdaja s plusom</w:t>
      </w:r>
      <w:r w:rsidRPr="00384B1F">
        <w:rPr>
          <w:rFonts w:asciiTheme="minorHAnsi" w:hAnsiTheme="minorHAnsi" w:cstheme="minorHAnsi"/>
          <w:sz w:val="22"/>
          <w:szCs w:val="22"/>
        </w:rPr>
        <w:t xml:space="preserve"> tako ne prinaša le vsebin, ki naj bi se obravnavale pri pouku slovenskega jezika, ampak tudi spodbuja samostojno in razmišljujoče delo dijakov, dialog med dijaki ter med dijaki in profesorjem ter razvija zmožnost učenja iz besedil in zmožnost strukturiranega povzemanja besedil. Težišče pouka je z učitelja kot posredovalca učne vsebine preneseno na dijake in njihovo samostojno delo, učiteljeva vloga pa je predvsem usmerjanje strokovnega dialoga in preverjanje, kako dobro dijaki razumejo učno vsebino.</w:t>
      </w:r>
    </w:p>
    <w:p w14:paraId="02CEFA8D"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 xml:space="preserve">V učbeniku so obravnavane teme iz zgodovine slovenskega jezika, in sicer vloga, položaj in razvoj  slovenskega jezika v 20. stoletju, in teme iz sociolingvistike. Pri obravnavi besedilnih vrst so avtorice sledile načelu aktualnosti in uporabnosti. V učbeniku so obravnavane tiste besedilne vrste, s katerimi se bodo dijaki srečevali pri študiju in/ali v poklicu ali jih bodo sprejemali kot polnoletne osebe z volilno in drugimi pravnimi pravicami in obveznostmi (poljudnoznanstveni, znanstveni članek, okrogla miza, besedilo politične propagande, zakon, statut, pravilnik, upravna odločba, zapisnik, poslovni pogovor). </w:t>
      </w:r>
    </w:p>
    <w:p w14:paraId="596EACB1" w14:textId="77777777" w:rsidR="00384B1F" w:rsidRPr="00384B1F" w:rsidRDefault="00384B1F" w:rsidP="00384B1F">
      <w:pPr>
        <w:tabs>
          <w:tab w:val="left" w:pos="219"/>
        </w:tabs>
        <w:spacing w:after="158" w:line="260" w:lineRule="exact"/>
        <w:rPr>
          <w:rFonts w:asciiTheme="minorHAnsi" w:hAnsiTheme="minorHAnsi" w:cstheme="minorHAnsi"/>
          <w:sz w:val="22"/>
          <w:szCs w:val="22"/>
        </w:rPr>
      </w:pPr>
      <w:r w:rsidRPr="00384B1F">
        <w:rPr>
          <w:rFonts w:asciiTheme="minorHAnsi" w:hAnsiTheme="minorHAnsi" w:cstheme="minorHAnsi"/>
          <w:sz w:val="22"/>
          <w:szCs w:val="22"/>
        </w:rPr>
        <w:t>Na koncu učbenika so tudi naloge, ob katerih dijaki utrjujejo svoje znanje.</w:t>
      </w:r>
    </w:p>
    <w:p w14:paraId="3BFC908F" w14:textId="3A966B46" w:rsidR="004E205F" w:rsidRDefault="00384B1F" w:rsidP="00384B1F">
      <w:pPr>
        <w:rPr>
          <w:rFonts w:asciiTheme="minorHAnsi" w:hAnsiTheme="minorHAnsi" w:cstheme="minorHAnsi"/>
          <w:sz w:val="22"/>
          <w:szCs w:val="22"/>
        </w:rPr>
      </w:pPr>
      <w:r w:rsidRPr="00384B1F">
        <w:rPr>
          <w:rFonts w:asciiTheme="minorHAnsi" w:hAnsiTheme="minorHAnsi" w:cstheme="minorHAnsi"/>
          <w:sz w:val="22"/>
          <w:szCs w:val="22"/>
        </w:rPr>
        <w:t xml:space="preserve">Učbenik </w:t>
      </w:r>
      <w:r w:rsidRPr="00384B1F">
        <w:rPr>
          <w:rFonts w:asciiTheme="minorHAnsi" w:hAnsiTheme="minorHAnsi" w:cstheme="minorHAnsi"/>
          <w:i/>
          <w:sz w:val="22"/>
          <w:szCs w:val="22"/>
        </w:rPr>
        <w:t>Na pragu besedila 4 – izdaja s plusom</w:t>
      </w:r>
      <w:r w:rsidRPr="00384B1F">
        <w:rPr>
          <w:rFonts w:asciiTheme="minorHAnsi" w:hAnsiTheme="minorHAnsi" w:cstheme="minorHAnsi"/>
          <w:sz w:val="22"/>
          <w:szCs w:val="22"/>
        </w:rPr>
        <w:t xml:space="preserve"> je sistematično zasnovan, pregleden in zgledno oblikovan s precej slikovnega gradiva. Dijaki ob usvajanju učne snovi razvijajo vse štiri sporazumevalne dejavnosti, predvsem pa razvijajo zmožnost rabe bralnih učnih strategij (predvsem zmožnost strukturiranega povzemanja besedil) in medsebojno pogovarjanje. Učbenik je skladen s sodobnimi spoznanji jezikoslovne/slovenistične stroke in z učnim načrtom za slovenščino v gimnazijah in s katalogom znanja za slovenščino v srednjih strokovnih šolah ter primeren za starostno stopnjo dijakov, ki jim je namenjen.</w:t>
      </w:r>
    </w:p>
    <w:p w14:paraId="379E2D5A" w14:textId="4A7F5DCB" w:rsidR="00384B1F" w:rsidRDefault="00384B1F" w:rsidP="00384B1F">
      <w:pPr>
        <w:rPr>
          <w:rFonts w:asciiTheme="minorHAnsi" w:hAnsiTheme="minorHAnsi" w:cstheme="minorHAnsi"/>
          <w:sz w:val="22"/>
          <w:szCs w:val="22"/>
        </w:rPr>
      </w:pPr>
    </w:p>
    <w:p w14:paraId="133E18C8" w14:textId="50495C0A" w:rsidR="00384B1F" w:rsidRDefault="00384B1F" w:rsidP="00384B1F">
      <w:pPr>
        <w:rPr>
          <w:rFonts w:asciiTheme="minorHAnsi" w:hAnsiTheme="minorHAnsi" w:cstheme="minorHAnsi"/>
          <w:sz w:val="22"/>
          <w:szCs w:val="22"/>
        </w:rPr>
      </w:pPr>
    </w:p>
    <w:p w14:paraId="295CCBFE" w14:textId="680A9960" w:rsidR="00384B1F" w:rsidRDefault="00384B1F" w:rsidP="00384B1F">
      <w:pPr>
        <w:rPr>
          <w:rFonts w:asciiTheme="minorHAnsi" w:hAnsiTheme="minorHAnsi" w:cstheme="minorHAnsi"/>
          <w:sz w:val="22"/>
          <w:szCs w:val="22"/>
        </w:rPr>
      </w:pPr>
    </w:p>
    <w:p w14:paraId="79AAEA5D" w14:textId="0A829E65" w:rsidR="00384B1F" w:rsidRDefault="00384B1F" w:rsidP="00384B1F">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Dr. Lara Godec Soršak</w:t>
      </w:r>
    </w:p>
    <w:p w14:paraId="62DDE10F" w14:textId="0119813B" w:rsidR="00384B1F" w:rsidRPr="00384B1F" w:rsidRDefault="00384B1F" w:rsidP="00384B1F">
      <w:pPr>
        <w:rPr>
          <w:rFonts w:asciiTheme="minorHAnsi" w:hAnsiTheme="minorHAnsi" w:cstheme="minorHAnsi"/>
          <w:sz w:val="22"/>
          <w:szCs w:val="22"/>
        </w:rPr>
      </w:pPr>
      <w:r>
        <w:rPr>
          <w:rFonts w:asciiTheme="minorHAnsi" w:hAnsiTheme="minorHAnsi" w:cstheme="minorHAnsi"/>
          <w:sz w:val="22"/>
          <w:szCs w:val="22"/>
        </w:rPr>
        <w:t>5. 5. 2021</w:t>
      </w:r>
    </w:p>
    <w:sectPr w:rsidR="00384B1F" w:rsidRPr="00384B1F" w:rsidSect="00384B1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5012D"/>
    <w:multiLevelType w:val="hybridMultilevel"/>
    <w:tmpl w:val="B298E09A"/>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1F"/>
    <w:rsid w:val="00384B1F"/>
    <w:rsid w:val="004E205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20AC"/>
  <w15:chartTrackingRefBased/>
  <w15:docId w15:val="{A61908BF-C553-4409-B03B-F073660B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4B1F"/>
    <w:pPr>
      <w:widowControl w:val="0"/>
      <w:autoSpaceDE w:val="0"/>
      <w:autoSpaceDN w:val="0"/>
      <w:adjustRightInd w:val="0"/>
      <w:spacing w:after="0" w:line="240" w:lineRule="auto"/>
    </w:pPr>
    <w:rPr>
      <w:rFonts w:ascii="Times New Roman" w:eastAsia="Times New Roman" w:hAnsi="Times New Roman" w:cs="Times New Roman"/>
      <w:sz w:val="20"/>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Ponikvar Jakša</dc:creator>
  <cp:keywords/>
  <dc:description/>
  <cp:lastModifiedBy>Andreja Ponikvar Jakša</cp:lastModifiedBy>
  <cp:revision>1</cp:revision>
  <dcterms:created xsi:type="dcterms:W3CDTF">2021-09-03T07:11:00Z</dcterms:created>
  <dcterms:modified xsi:type="dcterms:W3CDTF">2021-09-03T07:13:00Z</dcterms:modified>
</cp:coreProperties>
</file>