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0624C" w14:textId="77777777" w:rsidR="00A43DDC" w:rsidRPr="00A43DDC" w:rsidRDefault="00A43DDC" w:rsidP="00A43DDC">
      <w:r w:rsidRPr="00A43DDC">
        <w:t xml:space="preserve">Prenovljeni delovni učbenik </w:t>
      </w:r>
      <w:r w:rsidRPr="00A43DDC">
        <w:rPr>
          <w:i/>
          <w:iCs/>
        </w:rPr>
        <w:t>Od glasov do književnih svetov 7+</w:t>
      </w:r>
      <w:r w:rsidRPr="00A43DDC">
        <w:t xml:space="preserve"> sestavljata dva dela: del, namenjen jezikovnemu pouku, in del, namenjen književnemu pouku. Oba dela sta usklajena s prenovljenim </w:t>
      </w:r>
      <w:r w:rsidRPr="00A43DDC">
        <w:rPr>
          <w:b/>
          <w:bCs/>
        </w:rPr>
        <w:t>Učnim načrtom za slovenščino (2025)</w:t>
      </w:r>
      <w:r w:rsidRPr="00A43DDC">
        <w:t xml:space="preserve"> in učencem omogočata postopno pridobivanje znanja ter razvijanje sporazumevalnih in literarnih zmožnosti na različnih ravneh.</w:t>
      </w:r>
    </w:p>
    <w:p w14:paraId="35D7F652" w14:textId="447AEAC6" w:rsidR="00A43DDC" w:rsidRPr="00A43DDC" w:rsidRDefault="00A43DDC" w:rsidP="00A43DDC">
      <w:r w:rsidRPr="00A43DDC">
        <w:rPr>
          <w:b/>
          <w:bCs/>
        </w:rPr>
        <w:t>Naslovnica</w:t>
      </w:r>
      <w:r w:rsidRPr="00A43DDC">
        <w:t xml:space="preserve"> učbenika je oblikovana pregledno in sodobno ter z grafičnimi elementi jasno nakazuje vsebino gradiva. Barvna podoba je usklajena z notranjo zasnovo učbenika, kar omogoča hitro prepoznavanje posameznih delov gradiva. Na notranjih straneh naslovnice so dodani tudi kratki, pregledni povzetki obravnavanih vsebin, oblikovani kot nekakšni »kartončki«. Ker je gradivo učen</w:t>
      </w:r>
      <w:r w:rsidR="0053667F">
        <w:t>č</w:t>
      </w:r>
      <w:r w:rsidRPr="00A43DDC">
        <w:t>evo, lahko ti povzetki učencem ostanejo kot trajen pripomoček za ponavljanje in utrjevanje znanja ter kot pregledna pomoč pri samostojnem učenju.</w:t>
      </w:r>
    </w:p>
    <w:p w14:paraId="3911732B" w14:textId="77777777" w:rsidR="00A43DDC" w:rsidRPr="00A43DDC" w:rsidRDefault="00A43DDC" w:rsidP="00A43DDC">
      <w:r w:rsidRPr="00A43DDC">
        <w:t>Gradivo je obogateno z različnimi grafičnimi označevalci in ikonami, ki učence opozarjajo na pomembne informacije, ponavljanje že usvojenega znanja ali dodatne dejavnosti. Takšna vizualna podpora omogoča lažjo orientacijo v gradivu in spodbuja samostojno delo učencev.</w:t>
      </w:r>
    </w:p>
    <w:p w14:paraId="6D7C081E" w14:textId="77777777" w:rsidR="00A43DDC" w:rsidRPr="00A43DDC" w:rsidRDefault="00A43DDC" w:rsidP="00A43DDC">
      <w:r w:rsidRPr="00A43DDC">
        <w:rPr>
          <w:b/>
          <w:bCs/>
        </w:rPr>
        <w:t>Jezikovni del delovnega učbenika</w:t>
      </w:r>
      <w:r w:rsidRPr="00A43DDC">
        <w:t xml:space="preserve"> je zasnovan tako, da omogoča usvajanje novega znanja ter njegovo utrjevanje in ponavljanje, bodisi samostojno bodisi ob pomoči učitelja. Gradivo sledi zahtevam novega učnega načrta in omogoča doseganje ciljev ter standardov znanja. Pomembna značilnost zasnove je aktivna vloga učenca: naloge ga spodbujajo k samostojnemu razmišljanju in reševanju problemov, pri čemer lahko novo spoznanje dosega samostojno ali ob učiteljevi podpori. Učenec ob tem ponavlja tudi snov iz nižjih razredov, na kar ga opozarja poseben grafični označevalec, hkrati pa postopno usvaja nova jezikovna znanja.</w:t>
      </w:r>
    </w:p>
    <w:p w14:paraId="45064F24" w14:textId="699E21C6" w:rsidR="00A43DDC" w:rsidRPr="00A43DDC" w:rsidRDefault="00A43DDC" w:rsidP="00A43DDC">
      <w:r w:rsidRPr="00A43DDC">
        <w:t>Neumetnostna besedila so skrbno izbrana; ustrezajo starosti učencev, so primerno dolga, aktualna in povezana z vsebinami učnega načrta. Krajša neumetnostna besedila se pojavljajo že v sklopih, namenjenih obravnavi jezikovnega sistema in njegove vloge. Pri tem niso usmerjena zgolj v prepoznavanje posameznih besednih vrst ali stavčnih členov, temveč učence najprej vodijo k vsebinskemu razumevanju besedila. Učenci tako najprej razčlenijo njegovo vsebino, pojasnijo manj znane besede ter razlage poiščejo na spletu ali v jezikovnih</w:t>
      </w:r>
      <w:r>
        <w:t xml:space="preserve"> </w:t>
      </w:r>
      <w:r w:rsidRPr="00A43DDC">
        <w:t>priročnikih, nato pa se usmerijo tudi v jezikovno analizo (npr. prepoznavanje povedkov, povedi).</w:t>
      </w:r>
    </w:p>
    <w:p w14:paraId="1E16F9DD" w14:textId="77777777" w:rsidR="00A43DDC" w:rsidRPr="00A43DDC" w:rsidRDefault="00A43DDC" w:rsidP="00A43DDC">
      <w:r w:rsidRPr="00A43DDC">
        <w:t>Daljša neumetnostna besedila, skladna z besedilnimi vrstami posameznega razreda, omogočajo razvijanje bralne pismenosti ter poglobljeno razčlenjevanje neumetnostnih besedil. Ob njih so predvideni uvodni pogovori, samostojno pisanje in druge dejavnosti spremljanja ter tvorjenja besedil, zato so primerna tako za razvijanje razumevanja kot za tvorjenje besedil. Gradivo vključuje tudi naloge, ki preverjajo pravopisno znanje, ter primere rabe slovenščine v digitalnem okolju.</w:t>
      </w:r>
    </w:p>
    <w:p w14:paraId="727C4855" w14:textId="77777777" w:rsidR="00A43DDC" w:rsidRPr="00A43DDC" w:rsidRDefault="00A43DDC" w:rsidP="00A43DDC">
      <w:r w:rsidRPr="00A43DDC">
        <w:t>Naloge v jezikovnem delu gradiva so razporejene od lažjih k zahtevnejšim in spodbujajo različne načine reševanja. Učenci pri njih uporabljajo grafično označevanje, dopolnjevanje ter zapisovanje različnih vrst povedi (npr. vprašalnih, nikalnih). V posameznih sklopih so dodani tudi pregledni povzetki obravnavane snovi (npr. pri sklanjatvah ali jezikovnih priročnikih), ki učencem omogočajo sistematično utrjevanje znanja.</w:t>
      </w:r>
    </w:p>
    <w:p w14:paraId="24EFD5CC" w14:textId="77777777" w:rsidR="00A43DDC" w:rsidRPr="00A43DDC" w:rsidRDefault="00A43DDC" w:rsidP="00A43DDC">
      <w:r w:rsidRPr="00A43DDC">
        <w:t>Ker gre za delovni učbenik, ki je namenjen neposredni uporabi učencev, gradivo omogoča podčrtovanje, zapisovanje in druge oblike aktivnega dela z besedilom. Takšna zasnova spodbuja razvijanje bralne pismenosti in omogoča raznolike učne dejavnosti.</w:t>
      </w:r>
    </w:p>
    <w:p w14:paraId="1FE9C2C3" w14:textId="77777777" w:rsidR="00A43DDC" w:rsidRPr="00A43DDC" w:rsidRDefault="00A43DDC" w:rsidP="00A43DDC">
      <w:r w:rsidRPr="00A43DDC">
        <w:rPr>
          <w:b/>
          <w:bCs/>
        </w:rPr>
        <w:t>Književni del delovnega učbenika</w:t>
      </w:r>
      <w:r w:rsidRPr="00A43DDC">
        <w:t xml:space="preserve"> je zasnovan tako, da omogoča samostojno ali vodeno šolsko interpretacijo književnih besedil. Gradivo omogoča delo s književnim besedilom in delo ob književnem besedilu, pri čemer je zaradi zasnove učbenika omogočeno tudi reševanje nalog neposredno v </w:t>
      </w:r>
      <w:r w:rsidRPr="00A43DDC">
        <w:lastRenderedPageBreak/>
        <w:t>gradivu. Učenci lahko ob besedilih zapisujejo svoje odgovore, podčrtujejo pomembne dele ali označujejo ključne informacije, kar je učitelju v veliko pomoč pri razvijanju bralne pismenosti in velika prednost tovrstnega gradiva.</w:t>
      </w:r>
    </w:p>
    <w:p w14:paraId="65E16989" w14:textId="77777777" w:rsidR="00A43DDC" w:rsidRPr="00A43DDC" w:rsidRDefault="00A43DDC" w:rsidP="00A43DDC">
      <w:r w:rsidRPr="00A43DDC">
        <w:t>Književni del delovnega učbenika je zasnovan tako, da učenci spoznavajo slovensko in svetovno književnost v različnih časovnih obdobjih in kulturnih prostorih. Takšna zasnova učencem omogoča oblikovanje preglednega razumevanja razvoja književnosti ter spoznavanje različnih literarnih vrst in njihovih predelav. Izbor besedil vključuje dela slovenskih in tujih avtorjev ter učencem omogoča stik z literarnimi besedili različnih obdobij, kar prispeva k širjenju njihovega kulturnega in literarnega obzorja.</w:t>
      </w:r>
    </w:p>
    <w:p w14:paraId="139A9D8A" w14:textId="77777777" w:rsidR="00A43DDC" w:rsidRPr="00A43DDC" w:rsidRDefault="00A43DDC" w:rsidP="00A43DDC">
      <w:r w:rsidRPr="00A43DDC">
        <w:t>Naloge ob književnih besedilih omogočajo, da učenci prepoznavajo književne osebe, dogajalni prostor in čas, temo ter sporočilo besedila. Gradivo vsebuje tudi raznolik nabor diferenciranih nalog, ki so učitelju in učencem v pomoč pri usvajanju literarnoteoretičnega znanja. Posebej skrbno so oblikovane naloge za poustvarjanje, ki učence spodbujajo k ustvarjalnemu odzivanju na prebrano književno besedilo.</w:t>
      </w:r>
    </w:p>
    <w:p w14:paraId="2D9A78C5" w14:textId="77777777" w:rsidR="00A43DDC" w:rsidRPr="00A43DDC" w:rsidRDefault="00A43DDC" w:rsidP="00A43DDC">
      <w:r w:rsidRPr="00A43DDC">
        <w:t>Takšna zasnova gradiva je skladna s temeljnimi usmeritvami prenovljenega učnega načrta, ki poudarja komunikacijski model pouka književnosti ter razvijanje ustvarjalnega dialoga z umetnostnim besedilom, pri čemer učence besedilo doživlja, razume, vrednoti in o njem razmišlja.</w:t>
      </w:r>
    </w:p>
    <w:p w14:paraId="1A17FBE7" w14:textId="77777777" w:rsidR="00A43DDC" w:rsidRPr="00A43DDC" w:rsidRDefault="00A43DDC" w:rsidP="00A43DDC">
      <w:r w:rsidRPr="00A43DDC">
        <w:t>Posebna pozornost je namenjena tudi povezovanju jezika in književnosti. V gradivu so zasnovane naloge, ki spodbujajo povezovanje znanja z različnih področij, na kar učence opozarja poseben grafični označevalec ob nalogah.</w:t>
      </w:r>
    </w:p>
    <w:p w14:paraId="25279AB2" w14:textId="77777777" w:rsidR="00A43DDC" w:rsidRPr="00A43DDC" w:rsidRDefault="00A43DDC" w:rsidP="00A43DDC">
      <w:r w:rsidRPr="00A43DDC">
        <w:t>Naloge so didaktično zasnovane tako, da postopoma prehajajo od lažjih k zahtevnejšim. Učenci tako najprej prepoznavajo temeljne značilnosti besedila, kot sta dogajalni čas in prostor, nato pa postopoma prehajajo k poglobljenemu razmišljanju o besedilu. Sledijo raznovrstne naloge poustvarjanja, ki vključujejo poustvarjalno pisanje, različne predelave besedil ter spodbujajo kritično razmišljanje.</w:t>
      </w:r>
    </w:p>
    <w:p w14:paraId="7B6666F7" w14:textId="77777777" w:rsidR="00A43DDC" w:rsidRPr="00A43DDC" w:rsidRDefault="00A43DDC" w:rsidP="00A43DDC">
      <w:r w:rsidRPr="00A43DDC">
        <w:t>Ob posameznih nalogah so uporabljene tudi ikone, ki omogočajo dostop do dodatnih spletnih vsebin. Na ta način gradivo spodbuja uporabo digitalnih virov in razvijanje digitalne pismenosti, kar je skladno s sodobnimi cilji pouka slovenščine in vključevanjem slovenščine v digitalno okolje.</w:t>
      </w:r>
    </w:p>
    <w:p w14:paraId="15833E5C" w14:textId="1EEFDA9D" w:rsidR="00A43DDC" w:rsidRDefault="00A43DDC" w:rsidP="00A43DDC">
      <w:r w:rsidRPr="00A43DDC">
        <w:t xml:space="preserve">Naloge so raznolike in vključujejo naloge partnerja tipa ter naloge, pri katerih morajo učenci svoje odgovore zapisovati v povedih. Pri reševanju takšnih nalog se morajo učenci pogosto vračati k besedilu, kar dodatno spodbuja razvijanje bralne pismenosti. Prednost gradiva je tudi v tem, da lahko učence že med branjem </w:t>
      </w:r>
      <w:r>
        <w:t xml:space="preserve">besedila označuje pomembne dele, kar spodbuja aktivno branje. </w:t>
      </w:r>
    </w:p>
    <w:p w14:paraId="1F3944B3" w14:textId="1FD34C2F" w:rsidR="00A43DDC" w:rsidRPr="00A43DDC" w:rsidRDefault="00A43DDC" w:rsidP="00A43DDC">
      <w:r w:rsidRPr="00A43DDC">
        <w:t>V naloge so vklju</w:t>
      </w:r>
      <w:r>
        <w:t>č</w:t>
      </w:r>
      <w:r w:rsidRPr="00A43DDC">
        <w:t xml:space="preserve">eni tudi </w:t>
      </w:r>
      <w:proofErr w:type="spellStart"/>
      <w:r w:rsidRPr="00A43DDC">
        <w:t>nebesedilni</w:t>
      </w:r>
      <w:proofErr w:type="spellEnd"/>
      <w:r w:rsidRPr="00A43DDC">
        <w:t xml:space="preserve"> elementi, ki u</w:t>
      </w:r>
      <w:r>
        <w:t>č</w:t>
      </w:r>
      <w:r w:rsidRPr="00A43DDC">
        <w:t>ence spodbujajo k povezovanju znanja z razli</w:t>
      </w:r>
      <w:r>
        <w:t>č</w:t>
      </w:r>
      <w:r w:rsidRPr="00A43DDC">
        <w:t>nih podro</w:t>
      </w:r>
      <w:r>
        <w:t>č</w:t>
      </w:r>
      <w:r w:rsidRPr="00A43DDC">
        <w:t xml:space="preserve">ij ter k medpredmetnemu in </w:t>
      </w:r>
      <w:proofErr w:type="spellStart"/>
      <w:r w:rsidRPr="00A43DDC">
        <w:t>medbesedilnemu</w:t>
      </w:r>
      <w:proofErr w:type="spellEnd"/>
      <w:r w:rsidRPr="00A43DDC">
        <w:t xml:space="preserve"> povezovanju.</w:t>
      </w:r>
    </w:p>
    <w:p w14:paraId="5F1406D1" w14:textId="4CF59B47" w:rsidR="00A43DDC" w:rsidRPr="00A43DDC" w:rsidRDefault="00A43DDC" w:rsidP="00A43DDC">
      <w:r w:rsidRPr="00A43DDC">
        <w:t>Gradivo omogo</w:t>
      </w:r>
      <w:r>
        <w:t>č</w:t>
      </w:r>
      <w:r w:rsidRPr="00A43DDC">
        <w:t>a tudi uporabo slu</w:t>
      </w:r>
      <w:r>
        <w:t>š</w:t>
      </w:r>
      <w:r w:rsidRPr="00A43DDC">
        <w:t>nih posnetkov, ki u</w:t>
      </w:r>
      <w:r>
        <w:t>č</w:t>
      </w:r>
      <w:r w:rsidRPr="00A43DDC">
        <w:t>itelju pomagajo popestriti u</w:t>
      </w:r>
      <w:r>
        <w:t>č</w:t>
      </w:r>
      <w:r w:rsidRPr="00A43DDC">
        <w:t xml:space="preserve">no uro ali </w:t>
      </w:r>
      <w:r>
        <w:t xml:space="preserve">učencem </w:t>
      </w:r>
      <w:r w:rsidRPr="00A43DDC">
        <w:t>ponuditi druga</w:t>
      </w:r>
      <w:r>
        <w:t>č</w:t>
      </w:r>
      <w:r w:rsidRPr="00A43DDC">
        <w:t>en na</w:t>
      </w:r>
      <w:r>
        <w:t>č</w:t>
      </w:r>
      <w:r w:rsidRPr="00A43DDC">
        <w:t xml:space="preserve">in </w:t>
      </w:r>
      <w:r w:rsidR="008947E2" w:rsidRPr="00A43DDC">
        <w:t>do</w:t>
      </w:r>
      <w:r w:rsidR="008947E2">
        <w:t>ž</w:t>
      </w:r>
      <w:r w:rsidR="008947E2" w:rsidRPr="00A43DDC">
        <w:t>ivljanja</w:t>
      </w:r>
      <w:r w:rsidRPr="00A43DDC">
        <w:t xml:space="preserve"> knji</w:t>
      </w:r>
      <w:r>
        <w:t>ž</w:t>
      </w:r>
      <w:r w:rsidRPr="00A43DDC">
        <w:t>evnega besedila.</w:t>
      </w:r>
    </w:p>
    <w:p w14:paraId="7350F3C4" w14:textId="109236E9" w:rsidR="00A43DDC" w:rsidRPr="00A43DDC" w:rsidRDefault="00A43DDC" w:rsidP="00A43DDC">
      <w:r w:rsidRPr="00A43DDC">
        <w:t>Knji</w:t>
      </w:r>
      <w:r>
        <w:t>ž</w:t>
      </w:r>
      <w:r w:rsidRPr="00A43DDC">
        <w:t>evni del delovnega u</w:t>
      </w:r>
      <w:r>
        <w:t>č</w:t>
      </w:r>
      <w:r w:rsidRPr="00A43DDC">
        <w:t>benika vk</w:t>
      </w:r>
      <w:r>
        <w:t>l</w:t>
      </w:r>
      <w:r w:rsidRPr="00A43DDC">
        <w:t>ju</w:t>
      </w:r>
      <w:r>
        <w:t>č</w:t>
      </w:r>
      <w:r w:rsidRPr="00A43DDC">
        <w:t>uje obvezna besedila, predvidena v u</w:t>
      </w:r>
      <w:r>
        <w:t>č</w:t>
      </w:r>
      <w:r w:rsidRPr="00A43DDC">
        <w:t>nem na</w:t>
      </w:r>
      <w:r>
        <w:t>č</w:t>
      </w:r>
      <w:r w:rsidRPr="00A43DDC">
        <w:t>rtu, ob tem pa ponuja</w:t>
      </w:r>
      <w:r>
        <w:t xml:space="preserve"> </w:t>
      </w:r>
      <w:r w:rsidRPr="00A43DDC">
        <w:t>tudi povezave do dodatnih vsebin, med drugim do ogledov gledali</w:t>
      </w:r>
      <w:r>
        <w:t>š</w:t>
      </w:r>
      <w:r w:rsidRPr="00A43DDC">
        <w:t>kih predstav.</w:t>
      </w:r>
    </w:p>
    <w:p w14:paraId="5E45F8E4" w14:textId="7500DBFE" w:rsidR="00A43DDC" w:rsidRPr="00A43DDC" w:rsidRDefault="00A43DDC" w:rsidP="00A43DDC">
      <w:r w:rsidRPr="00A43DDC">
        <w:t>Literarnoteoreti</w:t>
      </w:r>
      <w:r>
        <w:t>č</w:t>
      </w:r>
      <w:r w:rsidRPr="00A43DDC">
        <w:t>ni pojmi, ki jih u</w:t>
      </w:r>
      <w:r>
        <w:t>č</w:t>
      </w:r>
      <w:r w:rsidRPr="00A43DDC">
        <w:t>enci ob posameznem sklopu spoznavajo ali utrjujejo, so jasno ozna</w:t>
      </w:r>
      <w:r>
        <w:t>č</w:t>
      </w:r>
      <w:r w:rsidRPr="00A43DDC">
        <w:t>eni v pastelnih barvah in opremljeni z grafitnimi ozna</w:t>
      </w:r>
      <w:r>
        <w:t>č</w:t>
      </w:r>
      <w:r w:rsidRPr="00A43DDC">
        <w:t>evalci, ki u</w:t>
      </w:r>
      <w:r>
        <w:t>č</w:t>
      </w:r>
      <w:r w:rsidRPr="00A43DDC">
        <w:t>encem pomagajo pri orientaciji skozi gradivo. Celotna zasnova knji</w:t>
      </w:r>
      <w:r>
        <w:t>ž</w:t>
      </w:r>
      <w:r w:rsidRPr="00A43DDC">
        <w:t>evnega dela delovnega u</w:t>
      </w:r>
      <w:r>
        <w:t>č</w:t>
      </w:r>
      <w:r w:rsidRPr="00A43DDC">
        <w:t xml:space="preserve">benika spodbuja razvijanje </w:t>
      </w:r>
      <w:r w:rsidRPr="00A43DDC">
        <w:lastRenderedPageBreak/>
        <w:t>pozitivnega odnosa do branja ter</w:t>
      </w:r>
      <w:r>
        <w:t xml:space="preserve"> </w:t>
      </w:r>
      <w:r w:rsidRPr="00A43DDC">
        <w:t>postopno oblikovanje samostojnega, kriti</w:t>
      </w:r>
      <w:r>
        <w:t>č</w:t>
      </w:r>
      <w:r w:rsidRPr="00A43DDC">
        <w:t>nega in ustvarjalnega bralca.</w:t>
      </w:r>
    </w:p>
    <w:p w14:paraId="3D6A1B3E" w14:textId="00533B49" w:rsidR="00A43DDC" w:rsidRPr="00A43DDC" w:rsidRDefault="00A43DDC" w:rsidP="00A43DDC">
      <w:r w:rsidRPr="00A43DDC">
        <w:t>Gradivo je oblikovano pregledno in barvno uravnote</w:t>
      </w:r>
      <w:r>
        <w:t>ž</w:t>
      </w:r>
      <w:r w:rsidRPr="00A43DDC">
        <w:t xml:space="preserve">eno, </w:t>
      </w:r>
      <w:r>
        <w:t>p</w:t>
      </w:r>
      <w:r w:rsidRPr="00A43DDC">
        <w:t>odlage za pisanje so ve</w:t>
      </w:r>
      <w:r w:rsidR="00266BC8">
        <w:t>č</w:t>
      </w:r>
      <w:r w:rsidRPr="00A43DDC">
        <w:t>krat obarvane v ne</w:t>
      </w:r>
      <w:r w:rsidR="00266BC8">
        <w:t>ž</w:t>
      </w:r>
      <w:r w:rsidRPr="00A43DDC">
        <w:t>ne pastelne barve, razmiki med nalogami pa so dovolj veliki, kar prispeva k ve</w:t>
      </w:r>
      <w:r w:rsidR="00266BC8">
        <w:t>č</w:t>
      </w:r>
      <w:r w:rsidRPr="00A43DDC">
        <w:t>ji preglednosti gradiva in omogo</w:t>
      </w:r>
      <w:r w:rsidR="00266BC8">
        <w:t>č</w:t>
      </w:r>
      <w:r w:rsidRPr="00A43DDC">
        <w:t>a la</w:t>
      </w:r>
      <w:r w:rsidR="00266BC8">
        <w:t>ž</w:t>
      </w:r>
      <w:r w:rsidRPr="00A43DDC">
        <w:t>je delo tudi u</w:t>
      </w:r>
      <w:r w:rsidR="00266BC8">
        <w:t>č</w:t>
      </w:r>
      <w:r w:rsidRPr="00A43DDC">
        <w:t>encem s posebnimi potrebami.</w:t>
      </w:r>
    </w:p>
    <w:p w14:paraId="2AA40040" w14:textId="0D45E06B" w:rsidR="00A43DDC" w:rsidRPr="00A43DDC" w:rsidRDefault="00A43DDC" w:rsidP="00A43DDC">
      <w:r w:rsidRPr="00A43DDC">
        <w:t>Skozi celotno gradivo u</w:t>
      </w:r>
      <w:r w:rsidR="00266BC8">
        <w:t>č</w:t>
      </w:r>
      <w:r w:rsidRPr="00A43DDC">
        <w:t>ence sprem</w:t>
      </w:r>
      <w:r w:rsidR="004B50DB">
        <w:t>lj</w:t>
      </w:r>
      <w:r w:rsidRPr="00A43DDC">
        <w:t>ajo grafi</w:t>
      </w:r>
      <w:r w:rsidR="004B50DB">
        <w:t>č</w:t>
      </w:r>
      <w:r w:rsidRPr="00A43DDC">
        <w:t xml:space="preserve">ni </w:t>
      </w:r>
      <w:r w:rsidR="004B50DB">
        <w:t>označevalci,</w:t>
      </w:r>
      <w:r w:rsidRPr="00A43DDC">
        <w:t xml:space="preserve"> ki jih opozarjajo na pomembne informacije, </w:t>
      </w:r>
      <w:r w:rsidR="004B50DB">
        <w:t>ž</w:t>
      </w:r>
      <w:r w:rsidRPr="00A43DDC">
        <w:t>e usvojeno znanje ali dodatne dejavnosti.</w:t>
      </w:r>
    </w:p>
    <w:p w14:paraId="70AA7236" w14:textId="6DC98B76" w:rsidR="00A43DDC" w:rsidRPr="00A43DDC" w:rsidRDefault="00A43DDC" w:rsidP="00A43DDC">
      <w:r w:rsidRPr="00A43DDC">
        <w:t>Zasnova gradiva omogo</w:t>
      </w:r>
      <w:r w:rsidR="004B50DB">
        <w:t>č</w:t>
      </w:r>
      <w:r w:rsidRPr="00A43DDC">
        <w:t>a tudi u</w:t>
      </w:r>
      <w:r w:rsidR="004B50DB">
        <w:t>č</w:t>
      </w:r>
      <w:r w:rsidRPr="00A43DDC">
        <w:t>inkovito diferenciacijo in individualizacijo pouka, saj u</w:t>
      </w:r>
      <w:r w:rsidR="004B50DB">
        <w:t>č</w:t>
      </w:r>
      <w:r w:rsidRPr="00A43DDC">
        <w:t>itelj lahko izbira med razli</w:t>
      </w:r>
      <w:r w:rsidR="004B50DB">
        <w:t>č</w:t>
      </w:r>
      <w:r w:rsidRPr="00A43DDC">
        <w:t xml:space="preserve">nimi tipi nalog ter jih prilagaja predznanju in </w:t>
      </w:r>
      <w:r w:rsidR="004B50DB">
        <w:t>zmožnostim</w:t>
      </w:r>
      <w:r w:rsidRPr="00A43DDC">
        <w:t xml:space="preserve"> u</w:t>
      </w:r>
      <w:r w:rsidR="004B50DB">
        <w:t>č</w:t>
      </w:r>
      <w:r w:rsidRPr="00A43DDC">
        <w:t xml:space="preserve">encev. Gradivo tako podpira aktivno </w:t>
      </w:r>
      <w:r w:rsidR="004B50DB">
        <w:t>vlogo</w:t>
      </w:r>
      <w:r w:rsidRPr="00A43DDC">
        <w:t xml:space="preserve"> </w:t>
      </w:r>
      <w:r w:rsidR="004B50DB">
        <w:t>učenca pri</w:t>
      </w:r>
      <w:r w:rsidRPr="00A43DDC">
        <w:t xml:space="preserve"> </w:t>
      </w:r>
      <w:r w:rsidR="004B50DB">
        <w:t>učenju</w:t>
      </w:r>
      <w:r w:rsidRPr="00A43DDC">
        <w:t xml:space="preserve"> ter </w:t>
      </w:r>
      <w:r w:rsidR="004B50DB">
        <w:t>učitelju</w:t>
      </w:r>
      <w:r w:rsidRPr="00A43DDC">
        <w:t xml:space="preserve"> </w:t>
      </w:r>
      <w:r w:rsidR="004B50DB">
        <w:t>omogoča</w:t>
      </w:r>
      <w:r w:rsidRPr="00A43DDC">
        <w:t xml:space="preserve"> </w:t>
      </w:r>
      <w:r w:rsidR="004B50DB">
        <w:t>načrtovanje</w:t>
      </w:r>
      <w:r w:rsidRPr="00A43DDC">
        <w:t xml:space="preserve"> raznolikih oblik in metod dela,</w:t>
      </w:r>
    </w:p>
    <w:p w14:paraId="55EC6F16" w14:textId="01BE77D5" w:rsidR="00A43DDC" w:rsidRPr="00A43DDC" w:rsidRDefault="00A43DDC" w:rsidP="00A43DDC">
      <w:r w:rsidRPr="00A43DDC">
        <w:t xml:space="preserve">Vsak sklop se </w:t>
      </w:r>
      <w:r w:rsidR="004B50DB">
        <w:t>zaključi</w:t>
      </w:r>
      <w:r w:rsidRPr="00A43DDC">
        <w:t xml:space="preserve"> s formativnim elementom </w:t>
      </w:r>
      <w:r w:rsidR="004B50DB">
        <w:t>samoocene</w:t>
      </w:r>
      <w:r w:rsidRPr="00A43DDC">
        <w:t xml:space="preserve">, ki je </w:t>
      </w:r>
      <w:r w:rsidR="004B50DB" w:rsidRPr="00A43DDC">
        <w:t>pripravljen</w:t>
      </w:r>
      <w:r w:rsidRPr="00A43DDC">
        <w:t xml:space="preserve"> v skladu s standardi znanja. </w:t>
      </w:r>
      <w:r w:rsidR="004B50DB">
        <w:t>Učenec</w:t>
      </w:r>
      <w:r w:rsidRPr="00A43DDC">
        <w:t xml:space="preserve"> tako lahko presodi svoj napredek in razumevanje snovi, </w:t>
      </w:r>
      <w:r w:rsidR="004B50DB" w:rsidRPr="00A43DDC">
        <w:t>učitelju</w:t>
      </w:r>
      <w:r w:rsidRPr="00A43DDC">
        <w:t xml:space="preserve"> pa to </w:t>
      </w:r>
      <w:r w:rsidR="004B50DB" w:rsidRPr="00A43DDC">
        <w:t>omogoča</w:t>
      </w:r>
      <w:r w:rsidRPr="00A43DDC">
        <w:t xml:space="preserve"> podajanje ustrezne povratne informacije.</w:t>
      </w:r>
    </w:p>
    <w:p w14:paraId="6A6E875D" w14:textId="36C7063B" w:rsidR="00A43DDC" w:rsidRPr="00A43DDC" w:rsidRDefault="00A43DDC" w:rsidP="00A43DDC">
      <w:r w:rsidRPr="004B50DB">
        <w:rPr>
          <w:b/>
          <w:bCs/>
        </w:rPr>
        <w:t>Priloge in zavihki</w:t>
      </w:r>
      <w:r w:rsidRPr="00A43DDC">
        <w:t xml:space="preserve"> </w:t>
      </w:r>
      <w:r w:rsidR="004B50DB" w:rsidRPr="00A43DDC">
        <w:t>predstavljajo</w:t>
      </w:r>
      <w:r w:rsidRPr="00A43DDC">
        <w:t xml:space="preserve"> dodatno podporo </w:t>
      </w:r>
      <w:r w:rsidR="004B50DB" w:rsidRPr="00A43DDC">
        <w:t>učitelju</w:t>
      </w:r>
      <w:r w:rsidRPr="00A43DDC">
        <w:t xml:space="preserve"> pri </w:t>
      </w:r>
      <w:r w:rsidR="004B50DB" w:rsidRPr="00A43DDC">
        <w:t>načrtovanju</w:t>
      </w:r>
      <w:r w:rsidRPr="00A43DDC">
        <w:t xml:space="preserve"> in izvedbi pouka. V njih je strnjeno </w:t>
      </w:r>
      <w:r w:rsidR="004B50DB" w:rsidRPr="00A43DDC">
        <w:t>predstavljena</w:t>
      </w:r>
      <w:r w:rsidRPr="00A43DDC">
        <w:t xml:space="preserve"> </w:t>
      </w:r>
      <w:r w:rsidR="004B50DB" w:rsidRPr="00A43DDC">
        <w:t>obravnava</w:t>
      </w:r>
      <w:r w:rsidRPr="00A43DDC">
        <w:t xml:space="preserve"> umetnostnih in neumetnostnih besedil z </w:t>
      </w:r>
      <w:r w:rsidR="004B50DB" w:rsidRPr="00A43DDC">
        <w:t>razčlembo</w:t>
      </w:r>
      <w:r w:rsidRPr="00A43DDC">
        <w:t xml:space="preserve"> </w:t>
      </w:r>
      <w:r w:rsidR="004B50DB" w:rsidRPr="00A43DDC">
        <w:t>ključnih</w:t>
      </w:r>
      <w:r w:rsidRPr="00A43DDC">
        <w:t xml:space="preserve"> vsebinskih in jezikovnih </w:t>
      </w:r>
      <w:r w:rsidR="004B50DB" w:rsidRPr="00A43DDC">
        <w:t>značilnosti</w:t>
      </w:r>
      <w:r w:rsidRPr="00A43DDC">
        <w:t xml:space="preserve"> ter s ponovitvijo temeljnih pojmov. Tak</w:t>
      </w:r>
      <w:r w:rsidR="004B50DB">
        <w:t>š</w:t>
      </w:r>
      <w:r w:rsidRPr="00A43DDC">
        <w:t xml:space="preserve">na zasnova </w:t>
      </w:r>
      <w:r w:rsidR="004B50DB" w:rsidRPr="00A43DDC">
        <w:t>omogoča</w:t>
      </w:r>
      <w:r w:rsidRPr="00A43DDC">
        <w:t xml:space="preserve"> pregledno utrjevanje obravnavane snovi in </w:t>
      </w:r>
      <w:r w:rsidR="004B50DB" w:rsidRPr="00A43DDC">
        <w:t>učitelju</w:t>
      </w:r>
      <w:r w:rsidRPr="00A43DDC">
        <w:t xml:space="preserve"> </w:t>
      </w:r>
      <w:r w:rsidR="004B50DB" w:rsidRPr="00A43DDC">
        <w:t>olajša</w:t>
      </w:r>
      <w:r w:rsidRPr="00A43DDC">
        <w:t xml:space="preserve"> vodenje </w:t>
      </w:r>
      <w:r w:rsidR="004B50DB">
        <w:t>učnega</w:t>
      </w:r>
      <w:r w:rsidRPr="00A43DDC">
        <w:t xml:space="preserve"> procesa, </w:t>
      </w:r>
      <w:r w:rsidR="004B50DB" w:rsidRPr="00A43DDC">
        <w:t>učencem</w:t>
      </w:r>
      <w:r w:rsidRPr="00A43DDC">
        <w:t xml:space="preserve"> pa </w:t>
      </w:r>
      <w:r w:rsidR="004B50DB" w:rsidRPr="00A43DDC">
        <w:t>omogoča</w:t>
      </w:r>
      <w:r w:rsidRPr="00A43DDC">
        <w:t xml:space="preserve"> </w:t>
      </w:r>
      <w:r w:rsidR="004B50DB" w:rsidRPr="00A43DDC">
        <w:t>sistematično</w:t>
      </w:r>
      <w:r w:rsidRPr="00A43DDC">
        <w:t xml:space="preserve"> </w:t>
      </w:r>
      <w:r w:rsidR="004B50DB" w:rsidRPr="00A43DDC">
        <w:t>ponavljanje</w:t>
      </w:r>
      <w:r w:rsidRPr="00A43DDC">
        <w:t xml:space="preserve"> in poglabljanje znanja.</w:t>
      </w:r>
    </w:p>
    <w:p w14:paraId="6EC86F0D" w14:textId="77777777" w:rsidR="00A43DDC" w:rsidRDefault="00A43DDC" w:rsidP="00A43DDC"/>
    <w:p w14:paraId="76C2DEC7" w14:textId="0DD6EE87" w:rsidR="00D12F1D" w:rsidRPr="00A43DDC" w:rsidRDefault="00D12F1D" w:rsidP="00A43DDC">
      <w:r>
        <w:tab/>
      </w:r>
      <w:r>
        <w:tab/>
      </w:r>
      <w:r>
        <w:tab/>
      </w:r>
      <w:r>
        <w:tab/>
      </w:r>
      <w:r>
        <w:tab/>
      </w:r>
      <w:r>
        <w:tab/>
      </w:r>
      <w:r>
        <w:tab/>
      </w:r>
      <w:r>
        <w:tab/>
        <w:t>Mag. Gordana Rodinger</w:t>
      </w:r>
    </w:p>
    <w:p w14:paraId="3A30E929" w14:textId="77777777" w:rsidR="00FB59AD" w:rsidRDefault="00FB59AD"/>
    <w:sectPr w:rsidR="00FB5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43DDC"/>
    <w:rsid w:val="000012B9"/>
    <w:rsid w:val="00096294"/>
    <w:rsid w:val="00266BC8"/>
    <w:rsid w:val="004B50DB"/>
    <w:rsid w:val="0053667F"/>
    <w:rsid w:val="006D68B2"/>
    <w:rsid w:val="007202F0"/>
    <w:rsid w:val="008947E2"/>
    <w:rsid w:val="00A43DDC"/>
    <w:rsid w:val="00A46C26"/>
    <w:rsid w:val="00D12F1D"/>
    <w:rsid w:val="00FB59A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7BD54"/>
  <w15:chartTrackingRefBased/>
  <w15:docId w15:val="{4208439F-ABC4-4DD2-84D4-E5B198D38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A43D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A43D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A43DDC"/>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A43DDC"/>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A43DDC"/>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A43DD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43DD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43DD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43DD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43DDC"/>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A43DDC"/>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A43DDC"/>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A43DDC"/>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A43DDC"/>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A43DD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43DD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43DD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43DDC"/>
    <w:rPr>
      <w:rFonts w:eastAsiaTheme="majorEastAsia" w:cstheme="majorBidi"/>
      <w:color w:val="272727" w:themeColor="text1" w:themeTint="D8"/>
    </w:rPr>
  </w:style>
  <w:style w:type="paragraph" w:styleId="Naslov">
    <w:name w:val="Title"/>
    <w:basedOn w:val="Navaden"/>
    <w:next w:val="Navaden"/>
    <w:link w:val="NaslovZnak"/>
    <w:uiPriority w:val="10"/>
    <w:qFormat/>
    <w:rsid w:val="00A43D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43DD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43DD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43DD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43DDC"/>
    <w:pPr>
      <w:spacing w:before="160"/>
      <w:jc w:val="center"/>
    </w:pPr>
    <w:rPr>
      <w:i/>
      <w:iCs/>
      <w:color w:val="404040" w:themeColor="text1" w:themeTint="BF"/>
    </w:rPr>
  </w:style>
  <w:style w:type="character" w:customStyle="1" w:styleId="CitatZnak">
    <w:name w:val="Citat Znak"/>
    <w:basedOn w:val="Privzetapisavaodstavka"/>
    <w:link w:val="Citat"/>
    <w:uiPriority w:val="29"/>
    <w:rsid w:val="00A43DDC"/>
    <w:rPr>
      <w:i/>
      <w:iCs/>
      <w:color w:val="404040" w:themeColor="text1" w:themeTint="BF"/>
    </w:rPr>
  </w:style>
  <w:style w:type="paragraph" w:styleId="Odstavekseznama">
    <w:name w:val="List Paragraph"/>
    <w:basedOn w:val="Navaden"/>
    <w:uiPriority w:val="34"/>
    <w:qFormat/>
    <w:rsid w:val="00A43DDC"/>
    <w:pPr>
      <w:ind w:left="720"/>
      <w:contextualSpacing/>
    </w:pPr>
  </w:style>
  <w:style w:type="character" w:styleId="Intenzivenpoudarek">
    <w:name w:val="Intense Emphasis"/>
    <w:basedOn w:val="Privzetapisavaodstavka"/>
    <w:uiPriority w:val="21"/>
    <w:qFormat/>
    <w:rsid w:val="00A43DDC"/>
    <w:rPr>
      <w:i/>
      <w:iCs/>
      <w:color w:val="2F5496" w:themeColor="accent1" w:themeShade="BF"/>
    </w:rPr>
  </w:style>
  <w:style w:type="paragraph" w:styleId="Intenzivencitat">
    <w:name w:val="Intense Quote"/>
    <w:basedOn w:val="Navaden"/>
    <w:next w:val="Navaden"/>
    <w:link w:val="IntenzivencitatZnak"/>
    <w:uiPriority w:val="30"/>
    <w:qFormat/>
    <w:rsid w:val="00A43D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A43DDC"/>
    <w:rPr>
      <w:i/>
      <w:iCs/>
      <w:color w:val="2F5496" w:themeColor="accent1" w:themeShade="BF"/>
    </w:rPr>
  </w:style>
  <w:style w:type="character" w:styleId="Intenzivensklic">
    <w:name w:val="Intense Reference"/>
    <w:basedOn w:val="Privzetapisavaodstavka"/>
    <w:uiPriority w:val="32"/>
    <w:qFormat/>
    <w:rsid w:val="00A43D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1319</Words>
  <Characters>7521</Characters>
  <Application>Microsoft Office Word</Application>
  <DocSecurity>0</DocSecurity>
  <Lines>62</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Maša Skok</dc:creator>
  <cp:keywords/>
  <dc:description/>
  <cp:lastModifiedBy>Maša Skok</cp:lastModifiedBy>
  <cp:revision>4</cp:revision>
  <dcterms:created xsi:type="dcterms:W3CDTF">2026-07-16T17:17:00Z</dcterms:created>
  <dcterms:modified xsi:type="dcterms:W3CDTF">2026-10-06T07:16:00Z</dcterms:modified>
</cp:coreProperties>
</file>